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004957" w:rsidP="0081255F">
      <w:pPr>
        <w:spacing w:line="480" w:lineRule="auto"/>
        <w:jc w:val="center"/>
        <w:rPr>
          <w:rFonts w:ascii="Times" w:hAnsi="Times"/>
        </w:rPr>
      </w:pPr>
      <w:r>
        <w:rPr>
          <w:rFonts w:ascii="Times" w:hAnsi="Times"/>
        </w:rPr>
        <w:t>Historical Inquiry: The Trial of Mary Surratt</w:t>
      </w: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r>
        <w:rPr>
          <w:rFonts w:ascii="Times" w:hAnsi="Times"/>
        </w:rPr>
        <w:t>Stephanie Doss</w:t>
      </w: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r>
        <w:rPr>
          <w:rFonts w:ascii="Times" w:hAnsi="Times"/>
        </w:rPr>
        <w:t xml:space="preserve">ECI 435 </w:t>
      </w: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81255F" w:rsidRDefault="0081255F" w:rsidP="0081255F">
      <w:pPr>
        <w:spacing w:line="480" w:lineRule="auto"/>
        <w:jc w:val="center"/>
        <w:rPr>
          <w:rFonts w:ascii="Times" w:hAnsi="Times"/>
        </w:rPr>
      </w:pPr>
    </w:p>
    <w:p w:rsidR="009356C2" w:rsidRDefault="009356C2" w:rsidP="0081255F">
      <w:pPr>
        <w:spacing w:line="480" w:lineRule="auto"/>
        <w:rPr>
          <w:rFonts w:ascii="Times" w:hAnsi="Times"/>
        </w:rPr>
      </w:pPr>
      <w:r>
        <w:rPr>
          <w:rFonts w:ascii="Times" w:hAnsi="Times"/>
          <w:b/>
        </w:rPr>
        <w:t>Introduction</w:t>
      </w:r>
    </w:p>
    <w:p w:rsidR="00206C13" w:rsidRDefault="00206C13" w:rsidP="0081255F">
      <w:pPr>
        <w:spacing w:line="480" w:lineRule="auto"/>
        <w:rPr>
          <w:rFonts w:ascii="Times" w:hAnsi="Times"/>
        </w:rPr>
      </w:pPr>
      <w:r>
        <w:rPr>
          <w:rFonts w:ascii="Times" w:hAnsi="Times"/>
        </w:rPr>
        <w:tab/>
        <w:t>The plot to assassinate President Abraham Lincoln is one of this nations most tragic and fascinating pieces of history. With a story that reads like a suspenseful novel, the night of April 14</w:t>
      </w:r>
      <w:r w:rsidRPr="00206C13">
        <w:rPr>
          <w:rFonts w:ascii="Times" w:hAnsi="Times"/>
          <w:vertAlign w:val="superscript"/>
        </w:rPr>
        <w:t>th</w:t>
      </w:r>
      <w:r>
        <w:rPr>
          <w:rFonts w:ascii="Times" w:hAnsi="Times"/>
        </w:rPr>
        <w:t xml:space="preserve">, 1865 would be a turning points in the lives of many individuals and in the fate of the nation itself. In the aftermath of one of the United States darkest hours of history, the end of the Civil War led John Wilkes Booth to an act of desperation to punish a leader he saw as a tyrant and hopefully revive the cause of his beloved Confederacy. However, Booth did not act alone, nor was Lincoln’s assassination an sudden impulse. </w:t>
      </w:r>
    </w:p>
    <w:p w:rsidR="00206C13" w:rsidRDefault="00206C13" w:rsidP="0081255F">
      <w:pPr>
        <w:spacing w:line="480" w:lineRule="auto"/>
        <w:rPr>
          <w:rFonts w:ascii="Times" w:hAnsi="Times"/>
        </w:rPr>
      </w:pPr>
      <w:r>
        <w:rPr>
          <w:rFonts w:ascii="Times" w:hAnsi="Times"/>
        </w:rPr>
        <w:tab/>
        <w:t xml:space="preserve">As the Civil War was coming to an end, Booth became increasingly angry at the turn of events and the Union’s president, whom he blamed for the decline of the South. Eventually Booth was determined to act. He was already involved in some elicit spying and correspondence with the Confederacy, but in early 1865 he decided to hatch a more serious plan: to kidnap the president and deliver him to Confederate leaders in Virginia. After the conspiracy was uncovered, many at the time and today speculated that Confederate President Jefferson Davis and his staff were aware of and endorsed Booth’s original plan. Many of Booth’s connections were in contact with Confederate leaders, and to think they at least had knowledge of the kidnapping plot is not far fetched, however no proof exists to support this claim. </w:t>
      </w:r>
    </w:p>
    <w:p w:rsidR="00A86034" w:rsidRDefault="00206C13" w:rsidP="0081255F">
      <w:pPr>
        <w:spacing w:line="480" w:lineRule="auto"/>
        <w:rPr>
          <w:rFonts w:ascii="Times" w:hAnsi="Times"/>
        </w:rPr>
      </w:pPr>
      <w:r>
        <w:rPr>
          <w:rFonts w:ascii="Times" w:hAnsi="Times"/>
        </w:rPr>
        <w:tab/>
        <w:t xml:space="preserve">One of Booth’s many connections to be pulled into his web of conspiracy would be John Surratt and his mother Mary. </w:t>
      </w:r>
      <w:r w:rsidR="00A86034">
        <w:rPr>
          <w:rFonts w:ascii="Times" w:hAnsi="Times"/>
        </w:rPr>
        <w:t xml:space="preserve">After Lincoln’s assassination, Mary would be arrested along with other conspirators associated with Booth, although her son John was missing at the time. Along with Lewis Payne, who attempted to assassinate Secretary of State Seward, David Herold, who helped Booth escape Washington, and George Atzerodt, who was supposed to assassinate Vice President Andrew Johnson, Mary Surratt was put on trial as a primary conspirator and accomplice to Booth. </w:t>
      </w:r>
    </w:p>
    <w:p w:rsidR="00A86034" w:rsidRDefault="00A86034" w:rsidP="00A86034">
      <w:pPr>
        <w:spacing w:line="480" w:lineRule="auto"/>
        <w:ind w:firstLine="720"/>
        <w:rPr>
          <w:rFonts w:ascii="Times" w:hAnsi="Times"/>
        </w:rPr>
      </w:pPr>
      <w:r>
        <w:rPr>
          <w:rFonts w:ascii="Times" w:hAnsi="Times"/>
        </w:rPr>
        <w:t xml:space="preserve">The trial, verdict and sentencing of Surratt that followed would come to be one of the most controversial in American history. Unlike many others who played direct roles in Booth’s conspiracy, Mary Surratt’s place was unclear. No hard evidence (such as letters, photos, or telegrams) clearly implicate or acquit her, however her association with the other defendants was damaging. It would be the testimony of two of her associates, </w:t>
      </w:r>
      <w:r w:rsidR="00FC1D39">
        <w:rPr>
          <w:rFonts w:ascii="Times" w:hAnsi="Times"/>
        </w:rPr>
        <w:t>Louis</w:t>
      </w:r>
      <w:r>
        <w:rPr>
          <w:rFonts w:ascii="Times" w:hAnsi="Times"/>
        </w:rPr>
        <w:t xml:space="preserve"> Weichmann and John Lloyd, that would play the most important role in convicting her. Whether their testimony was trustworthy, the trial was constitutional, or her sentence fair remains disputed today.</w:t>
      </w:r>
    </w:p>
    <w:p w:rsidR="00A86034" w:rsidRDefault="00A86034" w:rsidP="00A86034">
      <w:pPr>
        <w:spacing w:line="480" w:lineRule="auto"/>
        <w:rPr>
          <w:rFonts w:ascii="Times" w:hAnsi="Times"/>
        </w:rPr>
      </w:pPr>
    </w:p>
    <w:p w:rsidR="00A86034" w:rsidRDefault="00A86034" w:rsidP="00A86034">
      <w:pPr>
        <w:spacing w:line="480" w:lineRule="auto"/>
        <w:rPr>
          <w:rFonts w:ascii="Times" w:hAnsi="Times"/>
          <w:b/>
        </w:rPr>
      </w:pPr>
      <w:r>
        <w:rPr>
          <w:rFonts w:ascii="Times" w:hAnsi="Times"/>
          <w:b/>
        </w:rPr>
        <w:t>Historical Context</w:t>
      </w:r>
    </w:p>
    <w:p w:rsidR="00FF3806" w:rsidRDefault="00447571" w:rsidP="00A86034">
      <w:pPr>
        <w:spacing w:line="480" w:lineRule="auto"/>
        <w:rPr>
          <w:rFonts w:ascii="Times" w:hAnsi="Times"/>
        </w:rPr>
      </w:pPr>
      <w:r>
        <w:rPr>
          <w:rFonts w:ascii="Times" w:hAnsi="Times"/>
        </w:rPr>
        <w:tab/>
        <w:t>Mary Elizabeth Jenkins was born in Prince George’s County, Maryland, in 1823, to a modest farming family. Although her father died when Mary was two, her mother managed to capably raise her three children on her own.</w:t>
      </w:r>
      <w:r>
        <w:rPr>
          <w:rStyle w:val="FootnoteReference"/>
          <w:rFonts w:ascii="Times" w:hAnsi="Times"/>
        </w:rPr>
        <w:footnoteReference w:id="0"/>
      </w:r>
      <w:r>
        <w:rPr>
          <w:rFonts w:ascii="Times" w:hAnsi="Times"/>
        </w:rPr>
        <w:t xml:space="preserve"> Mary would meet her own husband, John Harrison Surratt, when she was only sixteen and he was ten years her senior. </w:t>
      </w:r>
      <w:r w:rsidR="00FF3806">
        <w:rPr>
          <w:rFonts w:ascii="Times" w:hAnsi="Times"/>
        </w:rPr>
        <w:t>They were married within a year, and within four years Mary had given birth to her three children: Isaac, Anna, and John Jr.</w:t>
      </w:r>
      <w:r w:rsidR="00FF3806">
        <w:rPr>
          <w:rStyle w:val="FootnoteReference"/>
          <w:rFonts w:ascii="Times" w:hAnsi="Times"/>
        </w:rPr>
        <w:footnoteReference w:id="1"/>
      </w:r>
    </w:p>
    <w:p w:rsidR="00FF3806" w:rsidRDefault="00FF3806" w:rsidP="00A86034">
      <w:pPr>
        <w:spacing w:line="480" w:lineRule="auto"/>
        <w:rPr>
          <w:rFonts w:ascii="Times" w:hAnsi="Times"/>
        </w:rPr>
      </w:pPr>
      <w:r>
        <w:rPr>
          <w:rFonts w:ascii="Times" w:hAnsi="Times"/>
        </w:rPr>
        <w:tab/>
        <w:t>John Surratt Sr. would make his fortune by through land he inherited from his adoptive parents, Richard and Sarah Neale. Although the land and farm were extensive, it became increasingly apparent Surratt was an undependable, occasionally abusive drinker who frequently gambled his way into debt. In 1851, what had been the Surratt’s home burned down in a fire allegedly caused by a runaway slave, and the Surratt’s were forced to move. John decided to invest in land that lay nearby on a heavily trafficked route between Southern Maryland and Washington D.C. to build a tavern and inn. Though this would ultimately prove a smart business decision, mounting debts forced John to sell the remainder of the land left to him by the Neales.</w:t>
      </w:r>
      <w:r>
        <w:rPr>
          <w:rStyle w:val="FootnoteReference"/>
          <w:rFonts w:ascii="Times" w:hAnsi="Times"/>
        </w:rPr>
        <w:footnoteReference w:id="2"/>
      </w:r>
    </w:p>
    <w:p w:rsidR="00C16D2C" w:rsidRDefault="00FF3806" w:rsidP="00A86034">
      <w:pPr>
        <w:spacing w:line="480" w:lineRule="auto"/>
        <w:rPr>
          <w:rFonts w:ascii="Times" w:hAnsi="Times"/>
        </w:rPr>
      </w:pPr>
      <w:r>
        <w:rPr>
          <w:rFonts w:ascii="Times" w:hAnsi="Times"/>
        </w:rPr>
        <w:tab/>
        <w:t xml:space="preserve">John’s tavern and inn proved to be successful business ventures and allowed he and Mary to purchase a townhouse in Washington and send their children to reputable private schools. However, John’s drunkenness and gambling contributed to mounting debts and an ever increasing burden on Mary. John’s sudden death in August 1862 put Mary in a </w:t>
      </w:r>
      <w:r w:rsidR="00C16D2C">
        <w:rPr>
          <w:rFonts w:ascii="Times" w:hAnsi="Times"/>
        </w:rPr>
        <w:t>very tenuous financial position, but with some financial assistance and by consolidating debts she managed to survive and keep the tavern and townhouse.</w:t>
      </w:r>
      <w:r w:rsidR="00C16D2C">
        <w:rPr>
          <w:rStyle w:val="FootnoteReference"/>
          <w:rFonts w:ascii="Times" w:hAnsi="Times"/>
        </w:rPr>
        <w:footnoteReference w:id="3"/>
      </w:r>
    </w:p>
    <w:p w:rsidR="00C16D2C" w:rsidRDefault="00C16D2C" w:rsidP="00A86034">
      <w:pPr>
        <w:spacing w:line="480" w:lineRule="auto"/>
        <w:rPr>
          <w:rFonts w:ascii="Times" w:hAnsi="Times"/>
        </w:rPr>
      </w:pPr>
      <w:r>
        <w:rPr>
          <w:rFonts w:ascii="Times" w:hAnsi="Times"/>
        </w:rPr>
        <w:tab/>
        <w:t>Though her eldest son Isaac was able to find a job in Baltimore, financial difficulties forced Mary to remove Anna and John from school. In 1864, Mary decided to permanently move to the boardinghouse in Washington she had previously rented out. Renting the tavern and farm instead would relieve her of strenuous physical and financial burdens, and relocating to the city would also give John more opportunities to find a job. Some later speculated her move might also have been to better facilitate her son’s illegal Confederate activities.</w:t>
      </w:r>
      <w:r>
        <w:rPr>
          <w:rStyle w:val="FootnoteReference"/>
          <w:rFonts w:ascii="Times" w:hAnsi="Times"/>
        </w:rPr>
        <w:footnoteReference w:id="4"/>
      </w:r>
    </w:p>
    <w:p w:rsidR="00AB60EC" w:rsidRDefault="00C16D2C" w:rsidP="00A86034">
      <w:pPr>
        <w:spacing w:line="480" w:lineRule="auto"/>
        <w:rPr>
          <w:rFonts w:ascii="Times" w:hAnsi="Times"/>
        </w:rPr>
      </w:pPr>
      <w:r>
        <w:rPr>
          <w:rFonts w:ascii="Times" w:hAnsi="Times"/>
        </w:rPr>
        <w:tab/>
        <w:t xml:space="preserve">John Wilkes Booth became connected to Mary Surratt through her son John. Booth was introduced to John through a mutual friend (and John’s fellow inhabitant of Prince George’s County) Dr. Samuel Mudd. </w:t>
      </w:r>
      <w:r w:rsidR="00AB60EC">
        <w:rPr>
          <w:rFonts w:ascii="Times" w:hAnsi="Times"/>
        </w:rPr>
        <w:t>Booth and Mudd were already collaborating on the plot to kidnap President Lincoln, and Mudd probably sought out John Surratt to assist them because of his history in illegally aiding Confederate correspondence, and his mother’s ownership of the tavern in Surrattsville. The tavern would provide a prime rendezvous location for an escape out of Washington and into Southern Maryland.</w:t>
      </w:r>
    </w:p>
    <w:p w:rsidR="00AB60EC" w:rsidRDefault="00AB60EC" w:rsidP="00A86034">
      <w:pPr>
        <w:spacing w:line="480" w:lineRule="auto"/>
        <w:rPr>
          <w:rFonts w:ascii="Times" w:hAnsi="Times"/>
        </w:rPr>
      </w:pPr>
      <w:r>
        <w:rPr>
          <w:rFonts w:ascii="Times" w:hAnsi="Times"/>
        </w:rPr>
        <w:tab/>
        <w:t>After Booth, Surratt and Mudd’s initial meeting, Booth became a frequent visitor to the boarding house on H Street. John began his own recruiting efforts for the plot to kidnap Lincoln, and several men who would later prove to be part of the plot either visited or stayed at Mary’s boarding house, including Lewis Payne and George Atzerodt.</w:t>
      </w:r>
      <w:r>
        <w:rPr>
          <w:rStyle w:val="FootnoteReference"/>
          <w:rFonts w:ascii="Times" w:hAnsi="Times"/>
        </w:rPr>
        <w:footnoteReference w:id="5"/>
      </w:r>
      <w:r>
        <w:rPr>
          <w:rFonts w:ascii="Times" w:hAnsi="Times"/>
        </w:rPr>
        <w:t xml:space="preserve"> </w:t>
      </w:r>
    </w:p>
    <w:p w:rsidR="00DA6151" w:rsidRDefault="00AB60EC" w:rsidP="00A86034">
      <w:pPr>
        <w:spacing w:line="480" w:lineRule="auto"/>
        <w:rPr>
          <w:rFonts w:ascii="Times" w:hAnsi="Times"/>
        </w:rPr>
      </w:pPr>
      <w:r>
        <w:rPr>
          <w:rFonts w:ascii="Times" w:hAnsi="Times"/>
        </w:rPr>
        <w:tab/>
        <w:t>The attempt to kidnap President Lincoln finally took place on March 17</w:t>
      </w:r>
      <w:r w:rsidRPr="00AB60EC">
        <w:rPr>
          <w:rFonts w:ascii="Times" w:hAnsi="Times"/>
          <w:vertAlign w:val="superscript"/>
        </w:rPr>
        <w:t>th</w:t>
      </w:r>
      <w:r>
        <w:rPr>
          <w:rFonts w:ascii="Times" w:hAnsi="Times"/>
        </w:rPr>
        <w:t xml:space="preserve">, 1865. What Mary Surratt knew of this plot exactly is uncertain. Booth planned to attack and hijack Lincoln’s carriage on a back road as he was traveling to visit a hospital, then take Lincoln through Southern Maryland to Virginia, where Confederate leaders could hold him for ransom or use him as leverage. However, Booth and his accomplices – including John Surratt, David Herold, </w:t>
      </w:r>
      <w:r w:rsidR="00DA6151">
        <w:rPr>
          <w:rFonts w:ascii="Times" w:hAnsi="Times"/>
        </w:rPr>
        <w:t xml:space="preserve">Lewis Payne, and George Atzerodt – waited in vain for Lincoln’s schedule that day changed. </w:t>
      </w:r>
      <w:r w:rsidR="00FC1D39">
        <w:rPr>
          <w:rFonts w:ascii="Times" w:hAnsi="Times"/>
        </w:rPr>
        <w:t>Louis</w:t>
      </w:r>
      <w:r w:rsidR="00DA6151">
        <w:rPr>
          <w:rFonts w:ascii="Times" w:hAnsi="Times"/>
        </w:rPr>
        <w:t xml:space="preserve"> Weichmann (a close family friend and boarder at the Surratt’s house) came home that day to the house on H Street to find Mary distraught, crying “John has gone away,” and John Surratt missing. Later, Surratt, Booth, and Payne arrived appearing excited and bearing pistols, most likely just arriving after their failed kidnapping attempt. Weichmann later testified they disappeared upstairs to a backroom, then left the house together.</w:t>
      </w:r>
      <w:r w:rsidR="00DA6151">
        <w:rPr>
          <w:rStyle w:val="FootnoteReference"/>
          <w:rFonts w:ascii="Times" w:hAnsi="Times"/>
        </w:rPr>
        <w:footnoteReference w:id="6"/>
      </w:r>
    </w:p>
    <w:p w:rsidR="004F21A4" w:rsidRDefault="00DA6151" w:rsidP="00A86034">
      <w:pPr>
        <w:spacing w:line="480" w:lineRule="auto"/>
        <w:rPr>
          <w:rFonts w:ascii="Times" w:hAnsi="Times"/>
        </w:rPr>
      </w:pPr>
      <w:r>
        <w:rPr>
          <w:rFonts w:ascii="Times" w:hAnsi="Times"/>
        </w:rPr>
        <w:tab/>
        <w:t xml:space="preserve">Several weeks separated the original kidnapping attempt and the successful assassination. During that time, Booth continued to meet with his conspirators to hatch new plans to kidnap the president that never came to fruition, and gradually some of his followers lost interest or thought better of the plot. It is unclear when Booth ultimately decided to assassinate the president rather than capture him, or if shared this decision with anyone. It’s possible his decision could have been caused at least partially by the fall of Richmond on April </w:t>
      </w:r>
      <w:r w:rsidR="00E811BB">
        <w:rPr>
          <w:rFonts w:ascii="Times" w:hAnsi="Times"/>
        </w:rPr>
        <w:t>2</w:t>
      </w:r>
      <w:r w:rsidR="00E811BB" w:rsidRPr="00E811BB">
        <w:rPr>
          <w:rFonts w:ascii="Times" w:hAnsi="Times"/>
          <w:vertAlign w:val="superscript"/>
        </w:rPr>
        <w:t>nd</w:t>
      </w:r>
      <w:r w:rsidR="00E811BB">
        <w:rPr>
          <w:rFonts w:ascii="Times" w:hAnsi="Times"/>
        </w:rPr>
        <w:t>, a sign of impending to defeat to many Southern sympathizers. When John Surratt learned the news, he had just arrived from the city with illegal Confederate dispatches, and decided he needed to get them to Montreal, their intended destination, as quickly as possible. He left without consulting Booth, which showed his top priority was his service to the Confederacy, not his friendship with the conspiratorial actor.</w:t>
      </w:r>
      <w:r w:rsidR="004F21A4">
        <w:rPr>
          <w:rStyle w:val="FootnoteReference"/>
          <w:rFonts w:ascii="Times" w:hAnsi="Times"/>
        </w:rPr>
        <w:footnoteReference w:id="7"/>
      </w:r>
    </w:p>
    <w:p w:rsidR="004F21A4" w:rsidRDefault="004F21A4" w:rsidP="00A86034">
      <w:pPr>
        <w:spacing w:line="480" w:lineRule="auto"/>
        <w:rPr>
          <w:rFonts w:ascii="Times" w:hAnsi="Times"/>
        </w:rPr>
      </w:pPr>
      <w:r>
        <w:rPr>
          <w:rFonts w:ascii="Times" w:hAnsi="Times"/>
        </w:rPr>
        <w:tab/>
        <w:t xml:space="preserve">On April 10, 1865, Mary Surratt asked </w:t>
      </w:r>
      <w:r w:rsidR="00FC1D39">
        <w:rPr>
          <w:rFonts w:ascii="Times" w:hAnsi="Times"/>
        </w:rPr>
        <w:t>Louis</w:t>
      </w:r>
      <w:r>
        <w:rPr>
          <w:rFonts w:ascii="Times" w:hAnsi="Times"/>
        </w:rPr>
        <w:t xml:space="preserve"> Weichmann to accompany her to Surrattsville to collect a debt owed to her by a neighbor. What happened on April 10</w:t>
      </w:r>
      <w:r w:rsidRPr="004F21A4">
        <w:rPr>
          <w:rFonts w:ascii="Times" w:hAnsi="Times"/>
          <w:vertAlign w:val="superscript"/>
        </w:rPr>
        <w:t>th</w:t>
      </w:r>
      <w:r>
        <w:rPr>
          <w:rFonts w:ascii="Times" w:hAnsi="Times"/>
        </w:rPr>
        <w:t xml:space="preserve"> would come to be disputed at Mary Surratt’s trial; while it is undisputed that Mary and Weichmann encountered Lloyd on their way to the town, Lloyd claims that Mary furtively whispered to him about having the “shooting irons” John Surratt had previously brought over within the next few days. Though Weichmann testified later that Mary had spoken to Lloyd, he admitted he could not hear what was said between them. After their conversation, Mary Surratt and Weichmann continued on their way and she transacted her business as expected.</w:t>
      </w:r>
      <w:r>
        <w:rPr>
          <w:rStyle w:val="FootnoteReference"/>
          <w:rFonts w:ascii="Times" w:hAnsi="Times"/>
        </w:rPr>
        <w:footnoteReference w:id="8"/>
      </w:r>
    </w:p>
    <w:p w:rsidR="004F21A4" w:rsidRDefault="004F21A4" w:rsidP="00A86034">
      <w:pPr>
        <w:spacing w:line="480" w:lineRule="auto"/>
        <w:rPr>
          <w:rFonts w:ascii="Times" w:hAnsi="Times"/>
        </w:rPr>
      </w:pPr>
      <w:r>
        <w:rPr>
          <w:rFonts w:ascii="Times" w:hAnsi="Times"/>
        </w:rPr>
        <w:tab/>
        <w:t>Four days later, Mary Surratt again asked Weichmann if he would escort her to Surrattsville, again to transact business. This time, she had a letter from George Calvert, a man she owed money to, inquiring about her payment. In order to pay him, she needed to collect the money from the land she sold to Nothey. As Mary Surratt and Weichmann were about to leave for Surrattsville, John Wilkes Booth arrived at the door of the boarding house requesting a word with Mary. Although Weichmann did not hear their conversation, he told the court later that she emerged with a package Booth had asked her to carry to the tavern.</w:t>
      </w:r>
      <w:r>
        <w:rPr>
          <w:rStyle w:val="FootnoteReference"/>
          <w:rFonts w:ascii="Times" w:hAnsi="Times"/>
        </w:rPr>
        <w:footnoteReference w:id="9"/>
      </w:r>
    </w:p>
    <w:p w:rsidR="002E04EC" w:rsidRDefault="004F21A4" w:rsidP="00A86034">
      <w:pPr>
        <w:spacing w:line="480" w:lineRule="auto"/>
        <w:rPr>
          <w:rFonts w:ascii="Times" w:hAnsi="Times"/>
        </w:rPr>
      </w:pPr>
      <w:r>
        <w:rPr>
          <w:rFonts w:ascii="Times" w:hAnsi="Times"/>
        </w:rPr>
        <w:tab/>
        <w:t xml:space="preserve">Once they arrived at the tavern, Mary wrote a note for Nothey requesting that he settle with her for the next ten days so she could pay Calvert, then she asked it be delivered and read to Nothey. </w:t>
      </w:r>
      <w:r w:rsidR="002E04EC">
        <w:rPr>
          <w:rFonts w:ascii="Times" w:hAnsi="Times"/>
        </w:rPr>
        <w:t>Why she did not go to Nothey’s house, which was only three miles away, to speak to him herself, is a mystery. Seeing that Lloyd was not at the tavern, Mary waited for him to return, most likely so that she could hand-deliver the package from Booth. Shortly Lloyd arrived, very drunk as several others would later attest to, Mary went outside to speak with him, a conversation which no one but Lloyd could testify to. Neither Weichmann nor Emma Offutt, Lloyd’s sister-in-law also waiting inside the tavern, overheard what was said. According to Lloyd, Mary asked him to have the shooting irons ready as well as two bottles of whiskey, for some parties would call for them later on. She also gave him the package from Booth, field glasses, which he was supposed to put with the other things. Finally, Mary and Weichmann headed back to Washington.</w:t>
      </w:r>
      <w:r w:rsidR="002E04EC">
        <w:rPr>
          <w:rStyle w:val="FootnoteReference"/>
          <w:rFonts w:ascii="Times" w:hAnsi="Times"/>
        </w:rPr>
        <w:footnoteReference w:id="10"/>
      </w:r>
    </w:p>
    <w:p w:rsidR="00AE52A0" w:rsidRDefault="002E04EC" w:rsidP="00A86034">
      <w:pPr>
        <w:spacing w:line="480" w:lineRule="auto"/>
        <w:rPr>
          <w:rFonts w:ascii="Times" w:hAnsi="Times"/>
        </w:rPr>
      </w:pPr>
      <w:r>
        <w:rPr>
          <w:rFonts w:ascii="Times" w:hAnsi="Times"/>
        </w:rPr>
        <w:tab/>
        <w:t>Earlier that day, Booth had met with Atzerodt and Herold to confirm the plan for that night: to assassinate President Lincoln, Ulysses S. Grant, Vice President Johnson, and Secretary of Steward. By coordinating their attacks, Booth hoped to throw the Union into a leaderless chaos that would give the Confederacy an opportunity to reorganize and revive. Although he told them John Surratt was in town and would help with the plot, no one had seen him since April 3</w:t>
      </w:r>
      <w:r w:rsidRPr="002E04EC">
        <w:rPr>
          <w:rFonts w:ascii="Times" w:hAnsi="Times"/>
          <w:vertAlign w:val="superscript"/>
        </w:rPr>
        <w:t>rd</w:t>
      </w:r>
      <w:r>
        <w:rPr>
          <w:rFonts w:ascii="Times" w:hAnsi="Times"/>
        </w:rPr>
        <w:t>. Booth was either lying to incriminate Surratt, or Surratt was expected to participate but never followed through.</w:t>
      </w:r>
      <w:r w:rsidR="00AE52A0">
        <w:rPr>
          <w:rStyle w:val="FootnoteReference"/>
          <w:rFonts w:ascii="Times" w:hAnsi="Times"/>
        </w:rPr>
        <w:footnoteReference w:id="11"/>
      </w:r>
    </w:p>
    <w:p w:rsidR="00AE52A0" w:rsidRDefault="00AE52A0" w:rsidP="00A86034">
      <w:pPr>
        <w:spacing w:line="480" w:lineRule="auto"/>
        <w:rPr>
          <w:rFonts w:ascii="Times" w:hAnsi="Times"/>
        </w:rPr>
      </w:pPr>
      <w:r>
        <w:rPr>
          <w:rFonts w:ascii="Times" w:hAnsi="Times"/>
        </w:rPr>
        <w:tab/>
        <w:t xml:space="preserve">That night, President Lincoln, his wife Mary, Major Henry Rathbone, and his fiancé Clara Harris arrived at the play </w:t>
      </w:r>
      <w:r>
        <w:rPr>
          <w:rFonts w:ascii="Times" w:hAnsi="Times"/>
          <w:i/>
        </w:rPr>
        <w:t>Our American Cousin</w:t>
      </w:r>
      <w:r>
        <w:rPr>
          <w:rFonts w:ascii="Times" w:hAnsi="Times"/>
        </w:rPr>
        <w:t xml:space="preserve"> fairly late. The Grants had declined the invitation – unbeknownst to Booth – because Julia Grant did not get along with Mary Todd Lincoln, and the Grants were eager to reunite with their children in New Jersey. As the four arrived, the play halted and Lincoln received a standing ovation to Hail the Chief. The Lincolns and their guests took their seats, unaware of the trap falling around them.</w:t>
      </w:r>
    </w:p>
    <w:p w:rsidR="00AE52A0" w:rsidRDefault="00AE52A0" w:rsidP="00A86034">
      <w:pPr>
        <w:spacing w:line="480" w:lineRule="auto"/>
        <w:rPr>
          <w:rFonts w:ascii="Times" w:hAnsi="Times"/>
        </w:rPr>
      </w:pPr>
      <w:r>
        <w:rPr>
          <w:rFonts w:ascii="Times" w:hAnsi="Times"/>
        </w:rPr>
        <w:tab/>
        <w:t xml:space="preserve">Booth arrived later as the play continued, planning to kill Lincoln at precisely the right time so his accomplices could also coordinate their attacks and avoid an uproar. Booth entered Ford’s Theatre easily as he was a well-known and reputable actor, avoiding suspicion as he made his way inside. He walked up the side steps to the President’s box, where miraculously Lincoln’s bodyguard was absent. Booth was in luck, for the guard had stepped out for a drink at the bar next door. He stepped through the first door of the box, waiting inside a short hallway that led to the space where the Lincolns were sitting. From this point, he could easily hear the play in order to make his move at the right moment. As a punch line in the comedy approached, Booth quietly opened the door to the box and stood undetected behind Lincoln. In an instant of uproarious laughter, Booth acts, shooting the president at point blank range in the back of the skull. </w:t>
      </w:r>
    </w:p>
    <w:p w:rsidR="0075276B" w:rsidRDefault="00AE52A0" w:rsidP="00A86034">
      <w:pPr>
        <w:spacing w:line="480" w:lineRule="auto"/>
        <w:rPr>
          <w:rFonts w:ascii="Times" w:hAnsi="Times"/>
        </w:rPr>
      </w:pPr>
      <w:r>
        <w:rPr>
          <w:rFonts w:ascii="Times" w:hAnsi="Times"/>
        </w:rPr>
        <w:tab/>
        <w:t xml:space="preserve">The laughter was so loud and the audience so distracted, no one at first realized what had happened. It was Lincoln’s guest, Major Rathbone, who first saw Lincoln’s attacker and rose to stop him. Booth was prepared for resistance and raised the large hunting knife he had brought, slashing Rathbone’s arm as he climbed to the front of the box. He shouted the now famous line, </w:t>
      </w:r>
      <w:r>
        <w:rPr>
          <w:rFonts w:ascii="Times" w:hAnsi="Times"/>
          <w:i/>
        </w:rPr>
        <w:t>“Sic Semper Tyrannis!”</w:t>
      </w:r>
      <w:r w:rsidR="0075276B">
        <w:rPr>
          <w:rFonts w:ascii="Times" w:hAnsi="Times"/>
        </w:rPr>
        <w:t xml:space="preserve"> and jumped dramatically from the box to the stage. Booth had planned his exit so that only one actor would be on stage to prevent any deterrence, but he had not planned for his spur to catch on the flag adorning the president’s box, causing him to land wrong and break his ankle. Pumping with adrenaline, Booth still managed to make his escape to his horse waiting outside. </w:t>
      </w:r>
    </w:p>
    <w:p w:rsidR="0075276B" w:rsidRDefault="0075276B" w:rsidP="00A86034">
      <w:pPr>
        <w:spacing w:line="480" w:lineRule="auto"/>
        <w:rPr>
          <w:rFonts w:ascii="Times" w:hAnsi="Times"/>
        </w:rPr>
      </w:pPr>
      <w:r>
        <w:rPr>
          <w:rFonts w:ascii="Times" w:hAnsi="Times"/>
        </w:rPr>
        <w:tab/>
        <w:t>Simultaneously, Lewis Payne brutally attacked Secretary of State Seward, as well as anyone in the house that stood in his way, and George Atzerodt lost his nerve to murder Andrew Johnson. Neither managed to make their way out of Washington after the assassination. Though Herold and Booth escaped on horseback to Southern Maryland and eventually Virginia, Booth’s broken ankle severely slowed their progress and they were eventually apprehended several days later. Herold surrendered, and the Union soldier attempted to smoke him out of the barn he had taken shelter in. The eager Boston Corbitt, however, saw an opportunity to take a shot through the barn door and killed Booth, ending the manhunt.</w:t>
      </w:r>
    </w:p>
    <w:p w:rsidR="0075276B" w:rsidRDefault="0075276B" w:rsidP="00A86034">
      <w:pPr>
        <w:spacing w:line="480" w:lineRule="auto"/>
        <w:rPr>
          <w:rFonts w:ascii="Times" w:hAnsi="Times"/>
        </w:rPr>
      </w:pPr>
      <w:r>
        <w:rPr>
          <w:rFonts w:ascii="Times" w:hAnsi="Times"/>
        </w:rPr>
        <w:tab/>
        <w:t>The pain for Mary Surratt, however, had just begun. Between two and three in the morning on the night of the assassination, officers came to her boarding house looking for Booth and John Surratt. The officers searched the house, and Mary claimed as far as she knew he was still in Canada, according to a letter he had recently sent her. Unfortunately, she was unable to produce the letter. Though still suspicious, the officers were forced to leave.</w:t>
      </w:r>
      <w:r>
        <w:rPr>
          <w:rStyle w:val="FootnoteReference"/>
          <w:rFonts w:ascii="Times" w:hAnsi="Times"/>
        </w:rPr>
        <w:footnoteReference w:id="12"/>
      </w:r>
    </w:p>
    <w:p w:rsidR="0082790F" w:rsidRDefault="0075276B" w:rsidP="00A86034">
      <w:pPr>
        <w:spacing w:line="480" w:lineRule="auto"/>
        <w:rPr>
          <w:rFonts w:ascii="Times" w:hAnsi="Times"/>
        </w:rPr>
      </w:pPr>
      <w:r>
        <w:rPr>
          <w:rFonts w:ascii="Times" w:hAnsi="Times"/>
        </w:rPr>
        <w:tab/>
        <w:t xml:space="preserve">False testimony by a live-in servant, who had claimed she saw three mysterious men come to the house the day after the assassination and mention John Surratt being with Booth in Ford’s Theatre, then quickly leave, led officers back to Surratt’s house. </w:t>
      </w:r>
      <w:r w:rsidR="005533D2">
        <w:rPr>
          <w:rFonts w:ascii="Times" w:hAnsi="Times"/>
        </w:rPr>
        <w:t>Three days after the assassination, on April 17</w:t>
      </w:r>
      <w:r w:rsidR="005533D2" w:rsidRPr="005533D2">
        <w:rPr>
          <w:rFonts w:ascii="Times" w:hAnsi="Times"/>
          <w:vertAlign w:val="superscript"/>
        </w:rPr>
        <w:t>th</w:t>
      </w:r>
      <w:r w:rsidR="005533D2">
        <w:rPr>
          <w:rFonts w:ascii="Times" w:hAnsi="Times"/>
        </w:rPr>
        <w:t>, Mary Surratt and the other occupants of the house were arrested and gathered to give their statements. As bad timing would have it, Lewis Payne chose to show up back at Mary Surratt’s front door just as the officers were about to escort her out. He quickly lied claiming he was a poor laborer coming to dig her a ditch, but when the officer asked who he was looking for, Payne answered “Mrs. Surratt.” Detective Richard Morgan asked him to come inside. He then led Mrs. Surratt to the door, and asked if she knew the man, and she swore she had never seen him before, nor had she ever asked him to dig a ditch for her. As Payne was also arrested, Mary Surratt probably was unaware of how those words would come back to haunt her.</w:t>
      </w:r>
    </w:p>
    <w:p w:rsidR="0082790F" w:rsidRDefault="0082790F" w:rsidP="00A86034">
      <w:pPr>
        <w:spacing w:line="480" w:lineRule="auto"/>
        <w:rPr>
          <w:rFonts w:ascii="Times" w:hAnsi="Times"/>
        </w:rPr>
      </w:pPr>
    </w:p>
    <w:p w:rsidR="0082790F" w:rsidRDefault="0082790F" w:rsidP="00A86034">
      <w:pPr>
        <w:spacing w:line="480" w:lineRule="auto"/>
        <w:rPr>
          <w:rFonts w:ascii="Times" w:hAnsi="Times"/>
          <w:b/>
        </w:rPr>
      </w:pPr>
      <w:r>
        <w:rPr>
          <w:rFonts w:ascii="Times" w:hAnsi="Times"/>
          <w:b/>
        </w:rPr>
        <w:t>Analysis</w:t>
      </w:r>
    </w:p>
    <w:p w:rsidR="00FC1D39" w:rsidRDefault="0082790F" w:rsidP="00A86034">
      <w:pPr>
        <w:spacing w:line="480" w:lineRule="auto"/>
        <w:rPr>
          <w:rFonts w:ascii="Times" w:hAnsi="Times"/>
        </w:rPr>
      </w:pPr>
      <w:r>
        <w:rPr>
          <w:rFonts w:ascii="Times" w:hAnsi="Times"/>
        </w:rPr>
        <w:tab/>
        <w:t xml:space="preserve">The main goal of this inquiry was to research the trial of Mary Surratt, and gain greater insight into why she was convicted and the evidence held against her. </w:t>
      </w:r>
      <w:r w:rsidR="00377695">
        <w:rPr>
          <w:rFonts w:ascii="Times" w:hAnsi="Times"/>
        </w:rPr>
        <w:t xml:space="preserve">By examining court transcripts of the trial of Mary Surratt, </w:t>
      </w:r>
      <w:r w:rsidR="00A85AB9">
        <w:rPr>
          <w:rFonts w:ascii="Times" w:hAnsi="Times"/>
          <w:highlight w:val="yellow"/>
        </w:rPr>
        <w:t>two</w:t>
      </w:r>
      <w:r w:rsidR="00377695">
        <w:rPr>
          <w:rFonts w:ascii="Times" w:hAnsi="Times"/>
        </w:rPr>
        <w:t xml:space="preserve"> inferences can be made.</w:t>
      </w:r>
      <w:r w:rsidR="00A85AB9">
        <w:rPr>
          <w:rFonts w:ascii="Times" w:hAnsi="Times"/>
        </w:rPr>
        <w:t xml:space="preserve"> First, that Mary Surratt was not entirely innocent in relation to the conspiracy to kidnap or kill Lincoln, but that second, she was convicted based solely on circumstantial evidence and speculation. </w:t>
      </w:r>
    </w:p>
    <w:p w:rsidR="00FC1D39" w:rsidRDefault="00FC1D39" w:rsidP="00A86034">
      <w:pPr>
        <w:spacing w:line="480" w:lineRule="auto"/>
        <w:rPr>
          <w:rFonts w:ascii="Times" w:hAnsi="Times"/>
        </w:rPr>
      </w:pPr>
      <w:r>
        <w:rPr>
          <w:rFonts w:ascii="Times" w:hAnsi="Times"/>
        </w:rPr>
        <w:tab/>
        <w:t xml:space="preserve">The public outcry of rage and grief urged authorities to quickly capture and prosecute those responsible for the nation’s pain. Mary Surratt, initially arrested for her ownership of the conspirators’ meeting place and the activities of her son John, eventually became a prime target for the prosecution. Unlike the others arrested and on trial – such as Lewis Payne, George Atzerodt, and David Herold – Mary’s involvement in Booth’s plans was unclear. The prosecution relied mainly on the testimony of John Lloyd and Louis Weichmann, both involved in their own way with the conspirators, to convict Mary Surratt. </w:t>
      </w:r>
    </w:p>
    <w:p w:rsidR="000176D8" w:rsidRDefault="00FC1D39" w:rsidP="00FF3E87">
      <w:pPr>
        <w:spacing w:line="480" w:lineRule="auto"/>
        <w:rPr>
          <w:rFonts w:ascii="Times" w:hAnsi="Times"/>
        </w:rPr>
      </w:pPr>
      <w:r>
        <w:rPr>
          <w:rFonts w:ascii="Times" w:hAnsi="Times"/>
        </w:rPr>
        <w:tab/>
        <w:t xml:space="preserve">Testimony supplied by Louis Weichmann gave the prosecution fuel to accuse Mary Surratt of conspiring with John Wilkes Booth. </w:t>
      </w:r>
      <w:r w:rsidR="00554B19">
        <w:rPr>
          <w:rFonts w:ascii="Times" w:hAnsi="Times"/>
        </w:rPr>
        <w:t>Weichmann</w:t>
      </w:r>
      <w:r w:rsidR="00FF3E87">
        <w:rPr>
          <w:rFonts w:ascii="Times" w:hAnsi="Times"/>
        </w:rPr>
        <w:t>, a long-time family friend and boarder,</w:t>
      </w:r>
      <w:r w:rsidR="00554B19">
        <w:rPr>
          <w:rFonts w:ascii="Times" w:hAnsi="Times"/>
        </w:rPr>
        <w:t xml:space="preserve"> explained the comings and goings of others involved in the conspiracy at Surratt’s boarding house, such as Booth himself, Mary’s son John, Lewis Payne, and George Atzerodt.</w:t>
      </w:r>
      <w:r w:rsidR="00554B19">
        <w:rPr>
          <w:rStyle w:val="FootnoteReference"/>
          <w:rFonts w:ascii="Times" w:hAnsi="Times"/>
        </w:rPr>
        <w:footnoteReference w:id="13"/>
      </w:r>
      <w:r w:rsidR="00FF3E87">
        <w:rPr>
          <w:rFonts w:ascii="Times" w:hAnsi="Times"/>
        </w:rPr>
        <w:t xml:space="preserve"> </w:t>
      </w:r>
      <w:r w:rsidR="00FF3E87">
        <w:rPr>
          <w:rFonts w:ascii="Times" w:hAnsi="Times"/>
        </w:rPr>
        <w:tab/>
        <w:t>Much of Weichmann’s testimony served to document John Surratt’s meetings with Booth and other illicit activities, such as escorting Sarah Slater, a known Confederate spy and blockade runner.</w:t>
      </w:r>
      <w:r w:rsidR="00FF3E87">
        <w:rPr>
          <w:rStyle w:val="FootnoteReference"/>
          <w:rFonts w:ascii="Times" w:hAnsi="Times"/>
        </w:rPr>
        <w:footnoteReference w:id="14"/>
      </w:r>
      <w:r w:rsidR="00FF3E87">
        <w:rPr>
          <w:rFonts w:ascii="Times" w:hAnsi="Times"/>
        </w:rPr>
        <w:t xml:space="preserve"> He also described how John Surratt and Booth initially met, and revealed that even on this first occasion, Booth, Surratt and Mudd had left Wiechmann alone to go discuss “business” in another room, providing the excuse that Booth was trying to purchase some land from Mudd and they were trying to settle on a price. According to Weichmann, after this initial meeting Booth began frequently calling at the Surratt’s, “</w:t>
      </w:r>
      <w:r w:rsidR="00FF3E87" w:rsidRPr="00FF3E87">
        <w:rPr>
          <w:rFonts w:ascii="Times" w:hAnsi="Times"/>
        </w:rPr>
        <w:t>generally asking for Mr. John H. Surratt, and in his absence for Mrs. Surratt. Their</w:t>
      </w:r>
      <w:r w:rsidR="00FF3E87">
        <w:rPr>
          <w:rFonts w:ascii="Times" w:hAnsi="Times"/>
        </w:rPr>
        <w:t xml:space="preserve"> </w:t>
      </w:r>
      <w:r w:rsidR="00FF3E87" w:rsidRPr="00FF3E87">
        <w:rPr>
          <w:rFonts w:ascii="Times" w:hAnsi="Times"/>
        </w:rPr>
        <w:t>interviews were always apart from other persons.</w:t>
      </w:r>
      <w:r w:rsidR="00FF3E87">
        <w:rPr>
          <w:rFonts w:ascii="Times" w:hAnsi="Times"/>
        </w:rPr>
        <w:t>”</w:t>
      </w:r>
      <w:r w:rsidR="00FF3E87">
        <w:rPr>
          <w:rStyle w:val="FootnoteReference"/>
          <w:rFonts w:ascii="Times" w:hAnsi="Times"/>
        </w:rPr>
        <w:footnoteReference w:id="15"/>
      </w:r>
      <w:r w:rsidR="000176D8">
        <w:rPr>
          <w:rFonts w:ascii="Times" w:hAnsi="Times"/>
        </w:rPr>
        <w:t xml:space="preserve"> </w:t>
      </w:r>
    </w:p>
    <w:p w:rsidR="000176D8" w:rsidRDefault="000176D8" w:rsidP="00FF3E87">
      <w:pPr>
        <w:spacing w:line="480" w:lineRule="auto"/>
        <w:rPr>
          <w:rFonts w:ascii="Times" w:hAnsi="Times"/>
        </w:rPr>
      </w:pPr>
      <w:r>
        <w:rPr>
          <w:rFonts w:ascii="Times" w:hAnsi="Times"/>
        </w:rPr>
        <w:tab/>
        <w:t>That the conspirators, including Booth, called at the Surratt’s boarding house and had conversations is supported by the testimony from other boarders at the house. Honora Fitzpatrick, another of Surratt’s boarders, and Anna Surratt, Mary’s daughter, both affirmed that Booth, Payne (known to Fitzpatrick by his alias Wood), and Atzerodt were all present at times at the house, though Anna claimed they would sometimes ask for Weichmann.</w:t>
      </w:r>
      <w:r>
        <w:rPr>
          <w:rStyle w:val="FootnoteReference"/>
          <w:rFonts w:ascii="Times" w:hAnsi="Times"/>
        </w:rPr>
        <w:footnoteReference w:id="16"/>
      </w:r>
      <w:r>
        <w:rPr>
          <w:rFonts w:ascii="Times" w:hAnsi="Times"/>
        </w:rPr>
        <w:t xml:space="preserve"> Though it is uncertain how much Mary Surratt knew about the plot her son and his friends were hatching, the fact that she obviously welcomed them into her home is suspicious. </w:t>
      </w:r>
    </w:p>
    <w:p w:rsidR="00262A70" w:rsidRDefault="0092124A" w:rsidP="00FF3E87">
      <w:pPr>
        <w:spacing w:line="480" w:lineRule="auto"/>
        <w:rPr>
          <w:rFonts w:ascii="Times" w:hAnsi="Times"/>
        </w:rPr>
      </w:pPr>
      <w:r>
        <w:rPr>
          <w:rFonts w:ascii="Times" w:hAnsi="Times"/>
        </w:rPr>
        <w:tab/>
        <w:t xml:space="preserve">The prosecution also used Mary Surratt’s denial of knowing Lewis Payne against her. Since it had been established through the testimony of Weichmann, Fitzpatrick and Anna Surratt that Payne had visited the house and met Mary Surratt, the prosecution claimed she should have recognized him even though he was wearing different clothes and gave a false name. </w:t>
      </w:r>
      <w:r w:rsidR="00262A70" w:rsidRPr="00262A70">
        <w:rPr>
          <w:rFonts w:ascii="Times" w:hAnsi="Times"/>
          <w:highlight w:val="yellow"/>
        </w:rPr>
        <w:t>Though a few people testified Mrs. Surratt had bad vision and had difficulty sewing or reading at night, that could not disprove the likelihood she had recognized Payne.</w:t>
      </w:r>
    </w:p>
    <w:p w:rsidR="00532B96" w:rsidRDefault="00262A70" w:rsidP="00FF3E87">
      <w:pPr>
        <w:spacing w:line="480" w:lineRule="auto"/>
        <w:rPr>
          <w:rFonts w:ascii="Times" w:hAnsi="Times"/>
        </w:rPr>
      </w:pPr>
      <w:r>
        <w:rPr>
          <w:rFonts w:ascii="Times" w:hAnsi="Times"/>
        </w:rPr>
        <w:tab/>
        <w:t>The most damning evidence against Mary Surratt was the testimony of John Lloyd and Louis Weichmann in relation to her visits to Surrattsville on April 10</w:t>
      </w:r>
      <w:r w:rsidRPr="00262A70">
        <w:rPr>
          <w:rFonts w:ascii="Times" w:hAnsi="Times"/>
          <w:vertAlign w:val="superscript"/>
        </w:rPr>
        <w:t>th</w:t>
      </w:r>
      <w:r>
        <w:rPr>
          <w:rFonts w:ascii="Times" w:hAnsi="Times"/>
        </w:rPr>
        <w:t xml:space="preserve"> and 14</w:t>
      </w:r>
      <w:r w:rsidRPr="00262A70">
        <w:rPr>
          <w:rFonts w:ascii="Times" w:hAnsi="Times"/>
          <w:vertAlign w:val="superscript"/>
        </w:rPr>
        <w:t>th</w:t>
      </w:r>
      <w:r>
        <w:rPr>
          <w:rFonts w:ascii="Times" w:hAnsi="Times"/>
        </w:rPr>
        <w:t>. Weichmann described how Mrs. Surratt had requested he take her to the tavern rented by Lloyd on April 10</w:t>
      </w:r>
      <w:r w:rsidRPr="00262A70">
        <w:rPr>
          <w:rFonts w:ascii="Times" w:hAnsi="Times"/>
          <w:vertAlign w:val="superscript"/>
        </w:rPr>
        <w:t>th</w:t>
      </w:r>
      <w:r>
        <w:rPr>
          <w:rFonts w:ascii="Times" w:hAnsi="Times"/>
        </w:rPr>
        <w:t xml:space="preserve"> in order to conduct business, and how they had encountered Lloyd during their trip. Though he confirms that Surratt spoke to Lloyd, Weichmann maintained he could not hear what was being said. He also accompanied her on her second visit on the day of the assassination, April 14</w:t>
      </w:r>
      <w:r w:rsidRPr="00262A70">
        <w:rPr>
          <w:rFonts w:ascii="Times" w:hAnsi="Times"/>
          <w:vertAlign w:val="superscript"/>
        </w:rPr>
        <w:t>th</w:t>
      </w:r>
      <w:r>
        <w:rPr>
          <w:rFonts w:ascii="Times" w:hAnsi="Times"/>
        </w:rPr>
        <w:t xml:space="preserve">, in perhaps the most suspicious activity Mary Surratt participated in. Weichmann </w:t>
      </w:r>
      <w:r w:rsidR="00532B96">
        <w:rPr>
          <w:rFonts w:ascii="Times" w:hAnsi="Times"/>
        </w:rPr>
        <w:t>testified that before he and Mrs. Surratt had left, Booth arrived at the house and left a package for her to carry to the tavern. Once they had arrived, Weichmann helped Mary write the note to Mr. Nothe, the man she had allegedly come to transact her business with, and waited with her. Though he noticed Lloyd’s arrival and saw Mary go out to speak to him and give him the package, he could not hear their exact conversation.</w:t>
      </w:r>
      <w:r w:rsidR="00532B96">
        <w:rPr>
          <w:rStyle w:val="FootnoteReference"/>
          <w:rFonts w:ascii="Times" w:hAnsi="Times"/>
        </w:rPr>
        <w:footnoteReference w:id="17"/>
      </w:r>
    </w:p>
    <w:p w:rsidR="00F50649" w:rsidRDefault="00532B96" w:rsidP="00532B96">
      <w:pPr>
        <w:spacing w:line="480" w:lineRule="auto"/>
        <w:ind w:firstLine="720"/>
        <w:rPr>
          <w:rFonts w:ascii="Times" w:hAnsi="Times"/>
        </w:rPr>
      </w:pPr>
      <w:r>
        <w:rPr>
          <w:rFonts w:ascii="Times" w:hAnsi="Times"/>
        </w:rPr>
        <w:t>Lloyd’s testimony sheds light on the rest of the story. According to him, he encountered Mrs. Surratt at the tavern after arriving from court in the nearby town of Marlboro. “</w:t>
      </w:r>
      <w:r w:rsidRPr="00532B96">
        <w:rPr>
          <w:rFonts w:ascii="Times" w:hAnsi="Times"/>
        </w:rPr>
        <w:t>She met me out by the wood-pile as I drove in with some fish and oysters in my buggy. She told me to have those shooting-irons ready that night, there would be some parties who would call for them. She gave me something wrapped in a piece of paper, which I took up stairs, and found to be a field-glass. She told me to get two bottles of whisky ready, and that these things w</w:t>
      </w:r>
      <w:r>
        <w:rPr>
          <w:rFonts w:ascii="Times" w:hAnsi="Times"/>
        </w:rPr>
        <w:t>ere to be called for that night,” Lloyd stated.</w:t>
      </w:r>
      <w:r>
        <w:rPr>
          <w:rStyle w:val="FootnoteReference"/>
          <w:rFonts w:ascii="Times" w:hAnsi="Times"/>
        </w:rPr>
        <w:footnoteReference w:id="18"/>
      </w:r>
      <w:r>
        <w:rPr>
          <w:rFonts w:ascii="Times" w:hAnsi="Times"/>
        </w:rPr>
        <w:t xml:space="preserve"> </w:t>
      </w:r>
      <w:r w:rsidR="00F50649">
        <w:rPr>
          <w:rFonts w:ascii="Times" w:hAnsi="Times"/>
        </w:rPr>
        <w:t>Testimony from Emma Offutt, Lloyd’s sister-in-law also present that day who saw Mary Surratt, confirmed that Mary had waited for Lloyd, then gone outside to speak to him bearing her package.</w:t>
      </w:r>
      <w:r w:rsidR="00F50649">
        <w:rPr>
          <w:rStyle w:val="FootnoteReference"/>
          <w:rFonts w:ascii="Times" w:hAnsi="Times"/>
        </w:rPr>
        <w:footnoteReference w:id="19"/>
      </w:r>
    </w:p>
    <w:p w:rsidR="00090718" w:rsidRDefault="00F50649" w:rsidP="00532B96">
      <w:pPr>
        <w:spacing w:line="480" w:lineRule="auto"/>
        <w:ind w:firstLine="720"/>
        <w:rPr>
          <w:rFonts w:ascii="Times" w:hAnsi="Times"/>
        </w:rPr>
      </w:pPr>
      <w:r>
        <w:rPr>
          <w:rFonts w:ascii="Times" w:hAnsi="Times"/>
        </w:rPr>
        <w:t>In Weichmann’s initial affidavit, he also claimed that Mrs. Surratt had acted anxious and excited for the rest of the night of April 14th, claiming she had to be home to Washington by 9 because she was expecting someone to call on her. When he asked if it was Booth, she did not answer. They arrived back to the house on H Street around eight thirty, and though he did hear a visitor come to the door, Weichmann admitted he neither saw who it was nor heard what he discussed with Mrs. Surratt. He noted her behavior for the remainder of the night was “nervous, agitated, and restless,” and eventually she became so aggravated she ordered Weichmann and the other young lady boarders, who had been laughing loudly, back to their rooms.</w:t>
      </w:r>
      <w:r w:rsidR="00090718">
        <w:rPr>
          <w:rStyle w:val="FootnoteReference"/>
          <w:rFonts w:ascii="Times" w:hAnsi="Times"/>
        </w:rPr>
        <w:footnoteReference w:id="20"/>
      </w:r>
    </w:p>
    <w:p w:rsidR="00090718" w:rsidRDefault="00090718" w:rsidP="00532B96">
      <w:pPr>
        <w:spacing w:line="480" w:lineRule="auto"/>
        <w:ind w:firstLine="720"/>
        <w:rPr>
          <w:rFonts w:ascii="Times" w:hAnsi="Times"/>
        </w:rPr>
      </w:pPr>
      <w:r>
        <w:rPr>
          <w:rFonts w:ascii="Times" w:hAnsi="Times"/>
        </w:rPr>
        <w:t>Mary Surratt’s behavior and actions on April 14</w:t>
      </w:r>
      <w:r w:rsidRPr="00090718">
        <w:rPr>
          <w:rFonts w:ascii="Times" w:hAnsi="Times"/>
          <w:vertAlign w:val="superscript"/>
        </w:rPr>
        <w:t>th</w:t>
      </w:r>
      <w:r>
        <w:rPr>
          <w:rFonts w:ascii="Times" w:hAnsi="Times"/>
        </w:rPr>
        <w:t>, if Weichmann and Lloyd are to be believed, could definitely considered unusual and suspicious. Surratt’s alleged reason for traveling to the tavern in Surrattsville was to ask Nothey to settle payment with her, however she did not pre-arrange to meet with him at the tavern, and if she was simply going to give him ten days to settle (as specified by the note she had delivered to his house), she could have sent him a letter detailing that from Washington without making the trip to Surrattsville. Waiting for Lloyd to return so she could speak to him and hand deliver the package from Booth also raises doubts about her innocence. Weichmann and Emma Offutt agreed that Surratt had waited for Lloyd, and though Lloyd was the only one to hear their conversation, since Lloyd did indeed deliver the field glasses and other items to Booth and Herold that night it would be logical to infer Mary conferred some kind of instructions on Lloyd. Based on Mary Surratt’s deliberate actions to go out of her way to deliver Booth’s package to Lloyd the day of the assassination, her close relationship to the conspirators, and her support of her son John, it would be difficult to believe Mary was totally ignorant to what was going on under her very nose.</w:t>
      </w:r>
    </w:p>
    <w:p w:rsidR="00094DCB" w:rsidRDefault="00090718" w:rsidP="00532B96">
      <w:pPr>
        <w:spacing w:line="480" w:lineRule="auto"/>
        <w:ind w:firstLine="720"/>
        <w:rPr>
          <w:rFonts w:ascii="Times" w:hAnsi="Times"/>
        </w:rPr>
      </w:pPr>
      <w:r>
        <w:rPr>
          <w:rFonts w:ascii="Times" w:hAnsi="Times"/>
        </w:rPr>
        <w:t xml:space="preserve">Despite her suspicious actions, a second inference that can be made from the documents relating to Mary Surratt’s trial is that the evidence against her was merely circumstantial, and most of it speculation. Though </w:t>
      </w:r>
      <w:r w:rsidR="009E1067">
        <w:rPr>
          <w:rFonts w:ascii="Times" w:hAnsi="Times"/>
        </w:rPr>
        <w:t>DNA evidence, photos, and fingerprints are tools readily used in criminal trials of today, these methods were unavailable to either convict or acquit Surratt or the other conspirators. As a result, most of the evidence placed against Mary was based on the testimony of Louis Weichmann and John Lloyd. Not all of the testimony matched up or filled in the gaps of Mary Surratt’s actions. Although Weichmann and Lloyd agreed Surratt had conversed with Lloyd on April 11</w:t>
      </w:r>
      <w:r w:rsidR="009E1067" w:rsidRPr="009E1067">
        <w:rPr>
          <w:rFonts w:ascii="Times" w:hAnsi="Times"/>
          <w:vertAlign w:val="superscript"/>
        </w:rPr>
        <w:t>th</w:t>
      </w:r>
      <w:r w:rsidR="009E1067">
        <w:rPr>
          <w:rFonts w:ascii="Times" w:hAnsi="Times"/>
        </w:rPr>
        <w:t xml:space="preserve">, Weichmann did not hear their conversation and Lloyd’s word was the only evidence to prove Mary Surratt ever asked him </w:t>
      </w:r>
      <w:r w:rsidR="00231B66">
        <w:rPr>
          <w:rFonts w:ascii="Times" w:hAnsi="Times"/>
        </w:rPr>
        <w:t>about preparing shooting irons.</w:t>
      </w:r>
      <w:r w:rsidR="00231B66">
        <w:rPr>
          <w:rStyle w:val="FootnoteReference"/>
          <w:rFonts w:ascii="Times" w:hAnsi="Times"/>
        </w:rPr>
        <w:footnoteReference w:id="21"/>
      </w:r>
      <w:r w:rsidR="009E1067">
        <w:rPr>
          <w:rFonts w:ascii="Times" w:hAnsi="Times"/>
        </w:rPr>
        <w:t xml:space="preserve"> </w:t>
      </w:r>
      <w:r w:rsidR="00231B66">
        <w:rPr>
          <w:rFonts w:ascii="Times" w:hAnsi="Times"/>
        </w:rPr>
        <w:t>On her second visit on April 14</w:t>
      </w:r>
      <w:r w:rsidR="00231B66" w:rsidRPr="00231B66">
        <w:rPr>
          <w:rFonts w:ascii="Times" w:hAnsi="Times"/>
          <w:vertAlign w:val="superscript"/>
        </w:rPr>
        <w:t>th</w:t>
      </w:r>
      <w:r w:rsidR="00231B66">
        <w:rPr>
          <w:rFonts w:ascii="Times" w:hAnsi="Times"/>
        </w:rPr>
        <w:t>, neither Emma Offutt nor Louis Weichmann heard Lloyd and Surratt’s second conversation.</w:t>
      </w:r>
      <w:r w:rsidR="00231B66">
        <w:rPr>
          <w:rStyle w:val="FootnoteReference"/>
          <w:rFonts w:ascii="Times" w:hAnsi="Times"/>
        </w:rPr>
        <w:footnoteReference w:id="22"/>
      </w:r>
    </w:p>
    <w:p w:rsidR="00094DCB" w:rsidRDefault="00094DCB" w:rsidP="00094DCB">
      <w:pPr>
        <w:spacing w:line="480" w:lineRule="auto"/>
        <w:ind w:firstLine="720"/>
        <w:rPr>
          <w:rFonts w:ascii="Times" w:hAnsi="Times"/>
        </w:rPr>
      </w:pPr>
      <w:r>
        <w:rPr>
          <w:rFonts w:ascii="Times" w:hAnsi="Times"/>
        </w:rPr>
        <w:t>Both Weichmann and Lloyd could also have been self-motivated in relation to some parts of their testimony. At the time, if a person was a witness in a trial he or she could not be tried as an accessory, which granted both Lloyd and Weichmann immunity. As both men had been involved in their own ways with the conspiracy, presenting a favorable testimony was in their best interest. Lloyd could also have been an unreliable witness as several people testified he was an alcoholic, almost always drunk, including on April 14</w:t>
      </w:r>
      <w:r w:rsidRPr="00094DCB">
        <w:rPr>
          <w:rFonts w:ascii="Times" w:hAnsi="Times"/>
          <w:vertAlign w:val="superscript"/>
        </w:rPr>
        <w:t>th</w:t>
      </w:r>
      <w:r>
        <w:rPr>
          <w:rFonts w:ascii="Times" w:hAnsi="Times"/>
        </w:rPr>
        <w:t xml:space="preserve"> when he claimed Mary Surratt had told him the weapons and whiskey ready for that night, presumably for Booth’s escape.</w:t>
      </w:r>
      <w:r>
        <w:rPr>
          <w:rStyle w:val="FootnoteReference"/>
          <w:rFonts w:ascii="Times" w:hAnsi="Times"/>
        </w:rPr>
        <w:footnoteReference w:id="23"/>
      </w:r>
      <w:r>
        <w:rPr>
          <w:rFonts w:ascii="Times" w:hAnsi="Times"/>
        </w:rPr>
        <w:t xml:space="preserve"> A good deal of Weichmann’s testimony also had to be taken at his own word, such as his observations of her behavior and the statements he claimed she made during their buggy rides. In addition, although he did state John Wilkes Booth would speak to Mrs. Surratt if John Surratt wasn’t at home, he also stated “These conversations would </w:t>
      </w:r>
      <w:r w:rsidRPr="00094DCB">
        <w:rPr>
          <w:rFonts w:ascii="Times" w:hAnsi="Times"/>
        </w:rPr>
        <w:t>not, generally, occupy more than five or eight minutes.</w:t>
      </w:r>
      <w:r>
        <w:rPr>
          <w:rFonts w:ascii="Times" w:hAnsi="Times"/>
        </w:rPr>
        <w:t>”</w:t>
      </w:r>
      <w:r>
        <w:rPr>
          <w:rStyle w:val="FootnoteReference"/>
          <w:rFonts w:ascii="Times" w:hAnsi="Times"/>
        </w:rPr>
        <w:footnoteReference w:id="24"/>
      </w:r>
      <w:r>
        <w:rPr>
          <w:rFonts w:ascii="Times" w:hAnsi="Times"/>
        </w:rPr>
        <w:t xml:space="preserve"> </w:t>
      </w:r>
    </w:p>
    <w:p w:rsidR="00323CD3" w:rsidRDefault="00094DCB" w:rsidP="00094DCB">
      <w:pPr>
        <w:spacing w:line="480" w:lineRule="auto"/>
        <w:ind w:firstLine="720"/>
        <w:rPr>
          <w:rFonts w:ascii="Times" w:hAnsi="Times"/>
        </w:rPr>
      </w:pPr>
      <w:r>
        <w:rPr>
          <w:rFonts w:ascii="Times" w:hAnsi="Times"/>
        </w:rPr>
        <w:t xml:space="preserve">In contrast to the evidence against her son John, such as a telegraph received from John Wilkes Booth in addition to testimony from Weichmann, no hard evidence existed against Mrs. Surratt. No letters or telegrams were found implicating her as having any knowledge of the conspiracy to kill Lincoln, and the subject of conversations she had with Booth is a mystery. What cannot be disputed is that Mary Surratt loved and valued her son, and was willing to harbor his friends, even if they were engaged in suspicious activity. </w:t>
      </w:r>
      <w:r w:rsidR="00323CD3">
        <w:rPr>
          <w:rFonts w:ascii="Times" w:hAnsi="Times"/>
        </w:rPr>
        <w:t>It’s also possible she sometimes acted according to the wishes of her son, or was manipulated by Booth out of her concern for John. Her distress on the day John, Booth and others were originally supposed to kidnap Lincoln shows her concern for her son, and that she must have had some knowledge they were up to something. Mary Surratt’s actions on April 14</w:t>
      </w:r>
      <w:r w:rsidR="00323CD3" w:rsidRPr="00323CD3">
        <w:rPr>
          <w:rFonts w:ascii="Times" w:hAnsi="Times"/>
          <w:vertAlign w:val="superscript"/>
        </w:rPr>
        <w:t>th</w:t>
      </w:r>
      <w:r w:rsidR="00323CD3">
        <w:rPr>
          <w:rFonts w:ascii="Times" w:hAnsi="Times"/>
        </w:rPr>
        <w:t xml:space="preserve"> might also be explained out of concern for her son. Booth might have threatened her or John or led her to believe John wished her to cooperate, as he was amply capable of manipulating people.</w:t>
      </w:r>
    </w:p>
    <w:p w:rsidR="00004957" w:rsidRDefault="00323CD3" w:rsidP="00094DCB">
      <w:pPr>
        <w:spacing w:line="480" w:lineRule="auto"/>
        <w:ind w:firstLine="720"/>
        <w:rPr>
          <w:rFonts w:ascii="Times" w:hAnsi="Times"/>
        </w:rPr>
      </w:pPr>
      <w:r>
        <w:rPr>
          <w:rFonts w:ascii="Times" w:hAnsi="Times"/>
        </w:rPr>
        <w:t>Regardless of what Mary Surratt’s motivations may or may not have been, the key pieces of evidence held against her were not ironclad and did not prove her guilty reasonable doubt that she actively participated in Booth’s conspiracy. She was an accessory simply by harboring Booth and his accomplices, and by carrying his package to John Lloyd, but her knowledge of the conspiracy or her intentions in any of her actions do not prove her guilt.</w:t>
      </w:r>
    </w:p>
    <w:p w:rsidR="00004957" w:rsidRDefault="00004957" w:rsidP="00094DCB">
      <w:pPr>
        <w:spacing w:line="480" w:lineRule="auto"/>
        <w:ind w:firstLine="720"/>
        <w:rPr>
          <w:rFonts w:ascii="Times" w:hAnsi="Times"/>
        </w:rPr>
      </w:pPr>
    </w:p>
    <w:p w:rsidR="00004957" w:rsidRDefault="00004957" w:rsidP="00094DCB">
      <w:pPr>
        <w:spacing w:line="480" w:lineRule="auto"/>
        <w:ind w:firstLine="720"/>
        <w:rPr>
          <w:rFonts w:ascii="Times" w:hAnsi="Times"/>
        </w:rPr>
      </w:pPr>
    </w:p>
    <w:p w:rsidR="00004957" w:rsidRDefault="00004957" w:rsidP="00094DCB">
      <w:pPr>
        <w:spacing w:line="480" w:lineRule="auto"/>
        <w:ind w:firstLine="720"/>
        <w:rPr>
          <w:rFonts w:ascii="Times" w:hAnsi="Times"/>
        </w:rPr>
      </w:pPr>
    </w:p>
    <w:p w:rsidR="00004957" w:rsidRDefault="00004957" w:rsidP="00094DCB">
      <w:pPr>
        <w:spacing w:line="480" w:lineRule="auto"/>
        <w:ind w:firstLine="720"/>
        <w:rPr>
          <w:rFonts w:ascii="Times" w:hAnsi="Times"/>
        </w:rPr>
      </w:pPr>
    </w:p>
    <w:p w:rsidR="00004957" w:rsidRDefault="00004957" w:rsidP="00094DCB">
      <w:pPr>
        <w:spacing w:line="480" w:lineRule="auto"/>
        <w:ind w:firstLine="720"/>
        <w:rPr>
          <w:rFonts w:ascii="Times" w:hAnsi="Times"/>
        </w:rPr>
      </w:pPr>
    </w:p>
    <w:p w:rsidR="00004957" w:rsidRDefault="00004957" w:rsidP="00094DCB">
      <w:pPr>
        <w:spacing w:line="480" w:lineRule="auto"/>
        <w:ind w:firstLine="720"/>
        <w:rPr>
          <w:rFonts w:ascii="Times" w:hAnsi="Times"/>
        </w:rPr>
      </w:pPr>
    </w:p>
    <w:p w:rsidR="00004957" w:rsidRDefault="00004957" w:rsidP="00094DCB">
      <w:pPr>
        <w:spacing w:line="480" w:lineRule="auto"/>
        <w:ind w:firstLine="720"/>
        <w:rPr>
          <w:rFonts w:ascii="Times" w:hAnsi="Times"/>
        </w:rPr>
      </w:pPr>
    </w:p>
    <w:p w:rsidR="00004957" w:rsidRDefault="00004957" w:rsidP="00094DCB">
      <w:pPr>
        <w:spacing w:line="480" w:lineRule="auto"/>
        <w:ind w:firstLine="720"/>
        <w:rPr>
          <w:rFonts w:ascii="Times" w:hAnsi="Times"/>
        </w:rPr>
      </w:pPr>
    </w:p>
    <w:p w:rsidR="00004957" w:rsidRDefault="00004957" w:rsidP="00094DCB">
      <w:pPr>
        <w:spacing w:line="480" w:lineRule="auto"/>
        <w:ind w:firstLine="720"/>
        <w:rPr>
          <w:rFonts w:ascii="Times" w:hAnsi="Times"/>
        </w:rPr>
      </w:pPr>
    </w:p>
    <w:p w:rsidR="00004957" w:rsidRDefault="00004957" w:rsidP="00094DCB">
      <w:pPr>
        <w:spacing w:line="480" w:lineRule="auto"/>
        <w:ind w:firstLine="720"/>
        <w:rPr>
          <w:rFonts w:ascii="Times" w:hAnsi="Times"/>
        </w:rPr>
      </w:pPr>
    </w:p>
    <w:p w:rsidR="00004957" w:rsidRDefault="00004957" w:rsidP="00004957">
      <w:pPr>
        <w:spacing w:line="480" w:lineRule="auto"/>
        <w:ind w:firstLine="720"/>
        <w:jc w:val="center"/>
        <w:rPr>
          <w:rFonts w:ascii="Times" w:hAnsi="Times"/>
          <w:b/>
        </w:rPr>
      </w:pPr>
      <w:r>
        <w:rPr>
          <w:rFonts w:ascii="Times" w:hAnsi="Times"/>
          <w:b/>
        </w:rPr>
        <w:t>Bibliography</w:t>
      </w:r>
    </w:p>
    <w:p w:rsidR="00004957" w:rsidRPr="00004957" w:rsidRDefault="00004957" w:rsidP="00004957">
      <w:pPr>
        <w:spacing w:line="480" w:lineRule="auto"/>
        <w:rPr>
          <w:rFonts w:ascii="Times" w:hAnsi="Times"/>
        </w:rPr>
      </w:pPr>
      <w:r w:rsidRPr="00004957">
        <w:rPr>
          <w:rFonts w:ascii="Times" w:hAnsi="Times"/>
        </w:rPr>
        <w:t>Prmary Sources</w:t>
      </w:r>
    </w:p>
    <w:p w:rsidR="00004957" w:rsidRDefault="00004957" w:rsidP="00004957">
      <w:pPr>
        <w:spacing w:line="480" w:lineRule="auto"/>
        <w:rPr>
          <w:rFonts w:ascii="Times" w:hAnsi="Times"/>
        </w:rPr>
      </w:pPr>
      <w:r w:rsidRPr="00004957">
        <w:rPr>
          <w:rFonts w:ascii="Times" w:hAnsi="Times"/>
          <w:i/>
        </w:rPr>
        <w:t>Testimony Relating to Mrs. Mary E. Surratt</w:t>
      </w:r>
      <w:r>
        <w:rPr>
          <w:rFonts w:ascii="Times" w:hAnsi="Times"/>
        </w:rPr>
        <w:t>, The Surratt House Museum</w:t>
      </w:r>
    </w:p>
    <w:p w:rsidR="00004957" w:rsidRDefault="00004957" w:rsidP="00004957">
      <w:pPr>
        <w:spacing w:line="480" w:lineRule="auto"/>
        <w:rPr>
          <w:rFonts w:ascii="Times" w:hAnsi="Times"/>
          <w:i/>
        </w:rPr>
      </w:pPr>
      <w:r w:rsidRPr="00004957">
        <w:rPr>
          <w:rFonts w:ascii="Times" w:hAnsi="Times"/>
          <w:i/>
        </w:rPr>
        <w:t>Affidavit of Louis J. Weichmann</w:t>
      </w:r>
      <w:r>
        <w:rPr>
          <w:rFonts w:ascii="Times" w:hAnsi="Times"/>
        </w:rPr>
        <w:t>, The Surratt House Museum</w:t>
      </w:r>
    </w:p>
    <w:p w:rsidR="00004957" w:rsidRDefault="00004957" w:rsidP="00004957">
      <w:pPr>
        <w:spacing w:line="480" w:lineRule="auto"/>
        <w:rPr>
          <w:rFonts w:ascii="Times" w:hAnsi="Times"/>
        </w:rPr>
      </w:pPr>
      <w:r>
        <w:rPr>
          <w:rFonts w:ascii="Times" w:hAnsi="Times"/>
          <w:i/>
        </w:rPr>
        <w:t>Pursuit and Capture of Booth and Herold (The Examination of John Lloyd)</w:t>
      </w:r>
      <w:r>
        <w:rPr>
          <w:rFonts w:ascii="Times" w:hAnsi="Times"/>
        </w:rPr>
        <w:t>, The Surratt House Museum</w:t>
      </w:r>
    </w:p>
    <w:p w:rsidR="00004957" w:rsidRDefault="00004957" w:rsidP="00004957">
      <w:pPr>
        <w:spacing w:line="480" w:lineRule="auto"/>
        <w:rPr>
          <w:rFonts w:ascii="Times" w:hAnsi="Times"/>
        </w:rPr>
      </w:pPr>
      <w:r>
        <w:rPr>
          <w:rFonts w:ascii="Times" w:hAnsi="Times"/>
        </w:rPr>
        <w:t>Secondary Sources</w:t>
      </w:r>
    </w:p>
    <w:p w:rsidR="00FF3E87" w:rsidRPr="00004957" w:rsidRDefault="00004957" w:rsidP="00004957">
      <w:pPr>
        <w:spacing w:line="480" w:lineRule="auto"/>
        <w:rPr>
          <w:rFonts w:ascii="Times" w:hAnsi="Times"/>
        </w:rPr>
      </w:pPr>
      <w:r>
        <w:rPr>
          <w:rFonts w:ascii="Times" w:hAnsi="Times"/>
        </w:rPr>
        <w:t xml:space="preserve">Kate Clifford Larson, </w:t>
      </w:r>
      <w:r>
        <w:rPr>
          <w:rFonts w:ascii="Times" w:hAnsi="Times"/>
          <w:i/>
        </w:rPr>
        <w:t>The Assassin’s Accomplice</w:t>
      </w:r>
      <w:r>
        <w:rPr>
          <w:rFonts w:ascii="Times" w:hAnsi="Times"/>
        </w:rPr>
        <w:t xml:space="preserve"> (New York: Basic Books, 2008).</w:t>
      </w:r>
    </w:p>
    <w:sectPr w:rsidR="00FF3E87" w:rsidRPr="00004957" w:rsidSect="0081255F">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094DCB" w:rsidRPr="00447571" w:rsidRDefault="00094DCB">
      <w:pPr>
        <w:pStyle w:val="FootnoteText"/>
        <w:rPr>
          <w:rFonts w:ascii="Times" w:hAnsi="Times"/>
          <w:sz w:val="20"/>
        </w:rPr>
      </w:pPr>
      <w:r>
        <w:rPr>
          <w:rStyle w:val="FootnoteReference"/>
        </w:rPr>
        <w:footnoteRef/>
      </w:r>
      <w:r>
        <w:t xml:space="preserve"> </w:t>
      </w:r>
      <w:r w:rsidRPr="00447571">
        <w:rPr>
          <w:rFonts w:ascii="Times" w:hAnsi="Times"/>
          <w:sz w:val="20"/>
        </w:rPr>
        <w:t xml:space="preserve">Kate Clifford Larson, </w:t>
      </w:r>
      <w:r w:rsidRPr="00447571">
        <w:rPr>
          <w:rFonts w:ascii="Times" w:hAnsi="Times"/>
          <w:i/>
          <w:sz w:val="20"/>
        </w:rPr>
        <w:t>The Assassin’s Accomplice</w:t>
      </w:r>
      <w:r w:rsidRPr="00447571">
        <w:rPr>
          <w:rFonts w:ascii="Times" w:hAnsi="Times"/>
          <w:sz w:val="20"/>
        </w:rPr>
        <w:t xml:space="preserve"> (New York: Basic Books, 2008) 11.</w:t>
      </w:r>
    </w:p>
  </w:footnote>
  <w:footnote w:id="1">
    <w:p w:rsidR="00094DCB" w:rsidRPr="00FF3806" w:rsidRDefault="00094DCB">
      <w:pPr>
        <w:pStyle w:val="FootnoteText"/>
        <w:rPr>
          <w:rFonts w:ascii="Times" w:hAnsi="Times"/>
          <w:sz w:val="20"/>
        </w:rPr>
      </w:pPr>
      <w:r>
        <w:rPr>
          <w:rStyle w:val="FootnoteReference"/>
        </w:rPr>
        <w:footnoteRef/>
      </w:r>
      <w:r>
        <w:t xml:space="preserve"> </w:t>
      </w:r>
      <w:r>
        <w:rPr>
          <w:rFonts w:ascii="Times" w:hAnsi="Times"/>
          <w:sz w:val="20"/>
        </w:rPr>
        <w:t xml:space="preserve">Larson, </w:t>
      </w:r>
      <w:r>
        <w:rPr>
          <w:rFonts w:ascii="Times" w:hAnsi="Times"/>
          <w:i/>
          <w:sz w:val="20"/>
        </w:rPr>
        <w:t>The Assassin’s Accomplice,</w:t>
      </w:r>
      <w:r>
        <w:rPr>
          <w:rFonts w:ascii="Times" w:hAnsi="Times"/>
          <w:sz w:val="20"/>
        </w:rPr>
        <w:t xml:space="preserve"> 12.</w:t>
      </w:r>
    </w:p>
  </w:footnote>
  <w:footnote w:id="2">
    <w:p w:rsidR="00094DCB" w:rsidRPr="00FF3806" w:rsidRDefault="00094DCB">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 xml:space="preserve">Larson, </w:t>
      </w:r>
      <w:r>
        <w:rPr>
          <w:rFonts w:ascii="Times" w:hAnsi="Times"/>
          <w:i/>
          <w:sz w:val="20"/>
        </w:rPr>
        <w:t>The Assassin’s Accomplice,</w:t>
      </w:r>
      <w:r>
        <w:rPr>
          <w:rFonts w:ascii="Times" w:hAnsi="Times"/>
          <w:sz w:val="20"/>
        </w:rPr>
        <w:t xml:space="preserve"> 13-18.</w:t>
      </w:r>
    </w:p>
  </w:footnote>
  <w:footnote w:id="3">
    <w:p w:rsidR="00094DCB" w:rsidRPr="00C16D2C" w:rsidRDefault="00094DCB">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 xml:space="preserve">Larson, </w:t>
      </w:r>
      <w:r>
        <w:rPr>
          <w:rFonts w:ascii="Times" w:hAnsi="Times"/>
          <w:i/>
          <w:sz w:val="20"/>
        </w:rPr>
        <w:t>The Assassin’s Accomplice,</w:t>
      </w:r>
      <w:r>
        <w:rPr>
          <w:rFonts w:ascii="Times" w:hAnsi="Times"/>
          <w:sz w:val="20"/>
        </w:rPr>
        <w:t xml:space="preserve"> 22-25.</w:t>
      </w:r>
    </w:p>
  </w:footnote>
  <w:footnote w:id="4">
    <w:p w:rsidR="00094DCB" w:rsidRPr="00FF3806" w:rsidRDefault="00094DCB" w:rsidP="00C16D2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 xml:space="preserve">Larson, </w:t>
      </w:r>
      <w:r>
        <w:rPr>
          <w:rFonts w:ascii="Times" w:hAnsi="Times"/>
          <w:i/>
          <w:sz w:val="20"/>
        </w:rPr>
        <w:t>The Assassin’s Accomplice,</w:t>
      </w:r>
      <w:r>
        <w:rPr>
          <w:rFonts w:ascii="Times" w:hAnsi="Times"/>
          <w:sz w:val="20"/>
        </w:rPr>
        <w:t xml:space="preserve"> 38.</w:t>
      </w:r>
    </w:p>
    <w:p w:rsidR="00094DCB" w:rsidRDefault="00094DCB">
      <w:pPr>
        <w:pStyle w:val="FootnoteText"/>
      </w:pPr>
    </w:p>
  </w:footnote>
  <w:footnote w:id="5">
    <w:p w:rsidR="00094DCB" w:rsidRPr="00DA6151" w:rsidRDefault="00094DCB" w:rsidP="00AB60EC">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 xml:space="preserve">Larson, </w:t>
      </w:r>
      <w:r>
        <w:rPr>
          <w:rFonts w:ascii="Times" w:hAnsi="Times"/>
          <w:i/>
          <w:sz w:val="20"/>
        </w:rPr>
        <w:t>The Assassin’s Accomplice,</w:t>
      </w:r>
      <w:r>
        <w:rPr>
          <w:rFonts w:ascii="Times" w:hAnsi="Times"/>
          <w:sz w:val="20"/>
        </w:rPr>
        <w:t xml:space="preserve"> 47-48.</w:t>
      </w:r>
    </w:p>
  </w:footnote>
  <w:footnote w:id="6">
    <w:p w:rsidR="00094DCB" w:rsidRPr="00FF3806" w:rsidRDefault="00094DCB" w:rsidP="00DA6151">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 xml:space="preserve">Larson, </w:t>
      </w:r>
      <w:r>
        <w:rPr>
          <w:rFonts w:ascii="Times" w:hAnsi="Times"/>
          <w:i/>
          <w:sz w:val="20"/>
        </w:rPr>
        <w:t>The Assassin’s Accomplice,</w:t>
      </w:r>
      <w:r>
        <w:rPr>
          <w:rFonts w:ascii="Times" w:hAnsi="Times"/>
          <w:sz w:val="20"/>
        </w:rPr>
        <w:t xml:space="preserve"> 66.</w:t>
      </w:r>
    </w:p>
    <w:p w:rsidR="00094DCB" w:rsidRDefault="00094DCB">
      <w:pPr>
        <w:pStyle w:val="FootnoteText"/>
      </w:pPr>
    </w:p>
  </w:footnote>
  <w:footnote w:id="7">
    <w:p w:rsidR="00094DCB" w:rsidRPr="004F21A4" w:rsidRDefault="00094DCB" w:rsidP="004F21A4">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 xml:space="preserve">Larson, </w:t>
      </w:r>
      <w:r>
        <w:rPr>
          <w:rFonts w:ascii="Times" w:hAnsi="Times"/>
          <w:i/>
          <w:sz w:val="20"/>
        </w:rPr>
        <w:t>The Assassin’s Accomplice,</w:t>
      </w:r>
      <w:r>
        <w:rPr>
          <w:rFonts w:ascii="Times" w:hAnsi="Times"/>
          <w:sz w:val="20"/>
        </w:rPr>
        <w:t xml:space="preserve"> 75-76.</w:t>
      </w:r>
    </w:p>
  </w:footnote>
  <w:footnote w:id="8">
    <w:p w:rsidR="00094DCB" w:rsidRPr="004F21A4" w:rsidRDefault="00094DCB">
      <w:pPr>
        <w:pStyle w:val="FootnoteText"/>
        <w:rPr>
          <w:rFonts w:ascii="Times" w:hAnsi="Times"/>
          <w:sz w:val="20"/>
        </w:rPr>
      </w:pPr>
      <w:r w:rsidRPr="004F21A4">
        <w:rPr>
          <w:rStyle w:val="FootnoteReference"/>
          <w:rFonts w:ascii="Times" w:hAnsi="Times"/>
          <w:sz w:val="20"/>
        </w:rPr>
        <w:footnoteRef/>
      </w:r>
      <w:r w:rsidRPr="004F21A4">
        <w:rPr>
          <w:rFonts w:ascii="Times" w:hAnsi="Times"/>
          <w:sz w:val="20"/>
        </w:rPr>
        <w:t xml:space="preserve"> </w:t>
      </w:r>
      <w:r>
        <w:rPr>
          <w:rFonts w:ascii="Times" w:hAnsi="Times"/>
          <w:sz w:val="20"/>
        </w:rPr>
        <w:t xml:space="preserve">Larson, </w:t>
      </w:r>
      <w:r>
        <w:rPr>
          <w:rFonts w:ascii="Times" w:hAnsi="Times"/>
          <w:i/>
          <w:sz w:val="20"/>
        </w:rPr>
        <w:t>The Assassin’s Accomplice,</w:t>
      </w:r>
      <w:r>
        <w:rPr>
          <w:rFonts w:ascii="Times" w:hAnsi="Times"/>
          <w:sz w:val="20"/>
        </w:rPr>
        <w:t xml:space="preserve"> 78-79.</w:t>
      </w:r>
    </w:p>
  </w:footnote>
  <w:footnote w:id="9">
    <w:p w:rsidR="00094DCB" w:rsidRPr="004F21A4" w:rsidRDefault="00094DCB" w:rsidP="004F21A4">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 xml:space="preserve">Larson, </w:t>
      </w:r>
      <w:r>
        <w:rPr>
          <w:rFonts w:ascii="Times" w:hAnsi="Times"/>
          <w:i/>
          <w:sz w:val="20"/>
        </w:rPr>
        <w:t>The Assassin’s Accomplice,</w:t>
      </w:r>
      <w:r>
        <w:rPr>
          <w:rFonts w:ascii="Times" w:hAnsi="Times"/>
          <w:sz w:val="20"/>
        </w:rPr>
        <w:t xml:space="preserve"> 83.</w:t>
      </w:r>
    </w:p>
    <w:p w:rsidR="00094DCB" w:rsidRDefault="00094DCB">
      <w:pPr>
        <w:pStyle w:val="FootnoteText"/>
      </w:pPr>
    </w:p>
  </w:footnote>
  <w:footnote w:id="10">
    <w:p w:rsidR="00094DCB" w:rsidRPr="00AE52A0" w:rsidRDefault="00094DCB">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 xml:space="preserve">Larson, </w:t>
      </w:r>
      <w:r>
        <w:rPr>
          <w:rFonts w:ascii="Times" w:hAnsi="Times"/>
          <w:i/>
          <w:sz w:val="20"/>
        </w:rPr>
        <w:t>The Assassin’s Accomplice,</w:t>
      </w:r>
      <w:r>
        <w:rPr>
          <w:rFonts w:ascii="Times" w:hAnsi="Times"/>
          <w:sz w:val="20"/>
        </w:rPr>
        <w:t xml:space="preserve"> 83-89.</w:t>
      </w:r>
    </w:p>
  </w:footnote>
  <w:footnote w:id="11">
    <w:p w:rsidR="00094DCB" w:rsidRPr="004F21A4" w:rsidRDefault="00094DCB" w:rsidP="00AE52A0">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 xml:space="preserve">Larson, </w:t>
      </w:r>
      <w:r>
        <w:rPr>
          <w:rFonts w:ascii="Times" w:hAnsi="Times"/>
          <w:i/>
          <w:sz w:val="20"/>
        </w:rPr>
        <w:t>The Assassin’s Accomplice,</w:t>
      </w:r>
      <w:r>
        <w:rPr>
          <w:rFonts w:ascii="Times" w:hAnsi="Times"/>
          <w:sz w:val="20"/>
        </w:rPr>
        <w:t xml:space="preserve"> 82</w:t>
      </w:r>
    </w:p>
    <w:p w:rsidR="00094DCB" w:rsidRDefault="00094DCB">
      <w:pPr>
        <w:pStyle w:val="FootnoteText"/>
      </w:pPr>
    </w:p>
  </w:footnote>
  <w:footnote w:id="12">
    <w:p w:rsidR="00094DCB" w:rsidRPr="004F21A4" w:rsidRDefault="00094DCB" w:rsidP="0075276B">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 xml:space="preserve">Larson, </w:t>
      </w:r>
      <w:r>
        <w:rPr>
          <w:rFonts w:ascii="Times" w:hAnsi="Times"/>
          <w:i/>
          <w:sz w:val="20"/>
        </w:rPr>
        <w:t>The Assassin’s Accomplice,</w:t>
      </w:r>
      <w:r>
        <w:rPr>
          <w:rFonts w:ascii="Times" w:hAnsi="Times"/>
          <w:sz w:val="20"/>
        </w:rPr>
        <w:t xml:space="preserve"> 93.</w:t>
      </w:r>
    </w:p>
    <w:p w:rsidR="00094DCB" w:rsidRDefault="00094DCB">
      <w:pPr>
        <w:pStyle w:val="FootnoteText"/>
      </w:pPr>
    </w:p>
  </w:footnote>
  <w:footnote w:id="13">
    <w:p w:rsidR="00094DCB" w:rsidRPr="00FF3E87" w:rsidRDefault="00094DCB">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1-5.</w:t>
      </w:r>
    </w:p>
  </w:footnote>
  <w:footnote w:id="14">
    <w:p w:rsidR="00094DCB" w:rsidRPr="00FF3E87" w:rsidRDefault="00094DCB" w:rsidP="00FF3E87">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2.</w:t>
      </w:r>
    </w:p>
    <w:p w:rsidR="00094DCB" w:rsidRDefault="00094DCB" w:rsidP="00FF3E87">
      <w:pPr>
        <w:pStyle w:val="FootnoteText"/>
      </w:pPr>
    </w:p>
  </w:footnote>
  <w:footnote w:id="15">
    <w:p w:rsidR="00094DCB" w:rsidRPr="000176D8" w:rsidRDefault="00094DCB">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3.</w:t>
      </w:r>
    </w:p>
  </w:footnote>
  <w:footnote w:id="16">
    <w:p w:rsidR="00094DCB" w:rsidRPr="004F21A4" w:rsidRDefault="00094DCB" w:rsidP="000176D8">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15 &amp; 37.</w:t>
      </w:r>
    </w:p>
    <w:p w:rsidR="00094DCB" w:rsidRDefault="00094DCB">
      <w:pPr>
        <w:pStyle w:val="FootnoteText"/>
      </w:pPr>
    </w:p>
  </w:footnote>
  <w:footnote w:id="17">
    <w:p w:rsidR="00094DCB" w:rsidRPr="00532B96" w:rsidRDefault="00094DCB">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3-11.</w:t>
      </w:r>
    </w:p>
  </w:footnote>
  <w:footnote w:id="18">
    <w:p w:rsidR="00094DCB" w:rsidRPr="00F50649" w:rsidRDefault="00094DCB">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Pursuit and Capture of Booth and Herold (Examination of John Lloyd), 1.</w:t>
      </w:r>
    </w:p>
  </w:footnote>
  <w:footnote w:id="19">
    <w:p w:rsidR="00094DCB" w:rsidRPr="00532B96" w:rsidRDefault="00094DCB" w:rsidP="00F50649">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16.</w:t>
      </w:r>
    </w:p>
    <w:p w:rsidR="00094DCB" w:rsidRDefault="00094DCB">
      <w:pPr>
        <w:pStyle w:val="FootnoteText"/>
      </w:pPr>
    </w:p>
  </w:footnote>
  <w:footnote w:id="20">
    <w:p w:rsidR="00094DCB" w:rsidRPr="00532B96" w:rsidRDefault="00094DCB" w:rsidP="00090718">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Affidavit of Louis J. Weichmann, 2-3.</w:t>
      </w:r>
    </w:p>
    <w:p w:rsidR="00094DCB" w:rsidRDefault="00094DCB">
      <w:pPr>
        <w:pStyle w:val="FootnoteText"/>
      </w:pPr>
    </w:p>
  </w:footnote>
  <w:footnote w:id="21">
    <w:p w:rsidR="00094DCB" w:rsidRPr="00231B66" w:rsidRDefault="00094DCB">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11.</w:t>
      </w:r>
    </w:p>
  </w:footnote>
  <w:footnote w:id="22">
    <w:p w:rsidR="00094DCB" w:rsidRPr="00094DCB" w:rsidRDefault="00094DCB">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16.</w:t>
      </w:r>
    </w:p>
  </w:footnote>
  <w:footnote w:id="23">
    <w:p w:rsidR="00094DCB" w:rsidRPr="00094DCB" w:rsidRDefault="00094DCB">
      <w:pPr>
        <w:pStyle w:val="FootnoteText"/>
        <w:rPr>
          <w:rFonts w:ascii="Times" w:hAnsi="Times"/>
          <w:sz w:val="20"/>
        </w:rPr>
      </w:pP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25.</w:t>
      </w:r>
    </w:p>
  </w:footnote>
  <w:footnote w:id="24">
    <w:p w:rsidR="00094DCB" w:rsidRPr="00532B96" w:rsidRDefault="00094DCB" w:rsidP="00094DCB">
      <w:pPr>
        <w:pStyle w:val="FootnoteText"/>
        <w:rPr>
          <w:rFonts w:ascii="Times" w:hAnsi="Times"/>
          <w:sz w:val="20"/>
        </w:rPr>
      </w:pPr>
      <w:r>
        <w:t xml:space="preserve"> </w:t>
      </w:r>
      <w:r w:rsidRPr="00FF3806">
        <w:rPr>
          <w:rStyle w:val="FootnoteReference"/>
          <w:rFonts w:ascii="Times" w:hAnsi="Times"/>
          <w:sz w:val="20"/>
        </w:rPr>
        <w:footnoteRef/>
      </w:r>
      <w:r w:rsidRPr="00FF3806">
        <w:rPr>
          <w:rFonts w:ascii="Times" w:hAnsi="Times"/>
          <w:sz w:val="20"/>
        </w:rPr>
        <w:t xml:space="preserve"> </w:t>
      </w:r>
      <w:r>
        <w:rPr>
          <w:rFonts w:ascii="Times" w:hAnsi="Times"/>
          <w:sz w:val="20"/>
        </w:rPr>
        <w:t>Testimony Relating to Mary E. Surratt, 9.</w:t>
      </w:r>
    </w:p>
    <w:p w:rsidR="00094DCB" w:rsidRDefault="00094DCB">
      <w:pPr>
        <w:pStyle w:val="FootnoteText"/>
      </w:pP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81255F"/>
    <w:rsid w:val="00004957"/>
    <w:rsid w:val="000176D8"/>
    <w:rsid w:val="00090718"/>
    <w:rsid w:val="00094DCB"/>
    <w:rsid w:val="00206C13"/>
    <w:rsid w:val="00231B66"/>
    <w:rsid w:val="00262A70"/>
    <w:rsid w:val="002E04EC"/>
    <w:rsid w:val="00323CD3"/>
    <w:rsid w:val="003631CC"/>
    <w:rsid w:val="00377695"/>
    <w:rsid w:val="00447571"/>
    <w:rsid w:val="004F21A4"/>
    <w:rsid w:val="00532B96"/>
    <w:rsid w:val="005533D2"/>
    <w:rsid w:val="00554B19"/>
    <w:rsid w:val="0075276B"/>
    <w:rsid w:val="0081255F"/>
    <w:rsid w:val="0082790F"/>
    <w:rsid w:val="00902D00"/>
    <w:rsid w:val="0092124A"/>
    <w:rsid w:val="009356C2"/>
    <w:rsid w:val="009E1067"/>
    <w:rsid w:val="00A85AB9"/>
    <w:rsid w:val="00A86034"/>
    <w:rsid w:val="00AB60EC"/>
    <w:rsid w:val="00AE52A0"/>
    <w:rsid w:val="00C16D2C"/>
    <w:rsid w:val="00D6422B"/>
    <w:rsid w:val="00DA6151"/>
    <w:rsid w:val="00E811BB"/>
    <w:rsid w:val="00F50649"/>
    <w:rsid w:val="00FC1D39"/>
    <w:rsid w:val="00FF3806"/>
    <w:rsid w:val="00FF3E87"/>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73447B"/>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 w:type="paragraph" w:styleId="FootnoteText">
    <w:name w:val="footnote text"/>
    <w:basedOn w:val="Normal"/>
    <w:link w:val="FootnoteTextChar"/>
    <w:uiPriority w:val="99"/>
    <w:semiHidden/>
    <w:unhideWhenUsed/>
    <w:rsid w:val="00447571"/>
  </w:style>
  <w:style w:type="character" w:customStyle="1" w:styleId="FootnoteTextChar">
    <w:name w:val="Footnote Text Char"/>
    <w:basedOn w:val="DefaultParagraphFont"/>
    <w:link w:val="FootnoteText"/>
    <w:uiPriority w:val="99"/>
    <w:semiHidden/>
    <w:rsid w:val="00447571"/>
  </w:style>
  <w:style w:type="character" w:styleId="FootnoteReference">
    <w:name w:val="footnote reference"/>
    <w:basedOn w:val="DefaultParagraphFont"/>
    <w:uiPriority w:val="99"/>
    <w:semiHidden/>
    <w:unhideWhenUsed/>
    <w:rsid w:val="00447571"/>
    <w:rPr>
      <w:vertAlign w:val="superscript"/>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16</Pages>
  <Words>3814</Words>
  <Characters>21741</Characters>
  <Application>Microsoft Word 12.1.0</Application>
  <DocSecurity>0</DocSecurity>
  <Lines>181</Lines>
  <Paragraphs>43</Paragraphs>
  <ScaleCrop>false</ScaleCrop>
  <Company>NC State University</Company>
  <LinksUpToDate>false</LinksUpToDate>
  <CharactersWithSpaces>26699</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6</cp:revision>
  <dcterms:created xsi:type="dcterms:W3CDTF">2012-10-02T00:30:00Z</dcterms:created>
  <dcterms:modified xsi:type="dcterms:W3CDTF">2012-10-03T04:38:00Z</dcterms:modified>
</cp:coreProperties>
</file>